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Таблицы переформатирования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аблицы-переформатирования-fst"/>
    <w:p>
      <w:pPr>
        <w:pStyle w:val="Heading1"/>
      </w:pPr>
      <w:r>
        <w:t xml:space="preserve">Таблицы переформатирования FST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FST</w:t>
      </w:r>
      <w:r>
        <w:t xml:space="preserve"> </w:t>
      </w:r>
      <w:r>
        <w:t xml:space="preserve">загружает таблицы переформатирования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базы ИРБИС, кеширует их разобранное представление и применяет таблицу к записи.</w:t>
      </w:r>
    </w:p>
    <w:bookmarkStart w:id="11" w:name="назначение-модуля-fst"/>
    <w:p>
      <w:pPr>
        <w:pStyle w:val="Heading2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Таблицы переформатирования FST</dc:title>
  <dc:creator/>
  <cp:keywords/>
  <dcterms:created xsi:type="dcterms:W3CDTF">2026-10-04T08:37:17Z</dcterms:created>
  <dcterms:modified xsi:type="dcterms:W3CDTF">2026-10-04T08:37:17Z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